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spacing w:before="75" w:after="75"/>
        <w:ind w:firstLine="709"/>
        <w:jc w:val="both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>
        <w:rPr>
          <w:b/>
          <w:bCs/>
          <w:color w:val="0B4A5F"/>
          <w:sz w:val="28"/>
          <w:szCs w:val="28"/>
          <w:lang w:eastAsia="ru-RU"/>
        </w:rPr>
        <w:t>Правила для авторов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Для публикации в «</w:t>
      </w:r>
      <w:r>
        <w:rPr>
          <w:b/>
          <w:bCs/>
          <w:color w:val="111111"/>
          <w:sz w:val="28"/>
          <w:szCs w:val="28"/>
          <w:lang w:eastAsia="ru-RU"/>
        </w:rPr>
        <w:t>Известиях Русского географического общества</w:t>
      </w:r>
      <w:r>
        <w:rPr>
          <w:color w:val="111111"/>
          <w:sz w:val="28"/>
          <w:szCs w:val="28"/>
          <w:lang w:eastAsia="ru-RU"/>
        </w:rPr>
        <w:t>» принимаются статьи, нигде не публиковавшиеся ранее, объёмом до 1 печатного листа  (40 000 знаков с пробелами, включая рисунки из расчета 1 рисунок размером 10×15 см – 1000 знаков).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Для подачи рукописи подготовьте основные файлы:</w:t>
      </w:r>
    </w:p>
    <w:p>
      <w:pPr>
        <w:pStyle w:val="Normal"/>
        <w:widowControl/>
        <w:numPr>
          <w:ilvl w:val="0"/>
          <w:numId w:val="1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файл с текстом рукописи (формат </w:t>
      </w:r>
      <w:r>
        <w:rPr>
          <w:b/>
          <w:bCs/>
          <w:color w:val="111111"/>
          <w:sz w:val="28"/>
          <w:szCs w:val="28"/>
          <w:lang w:eastAsia="ru-RU"/>
        </w:rPr>
        <w:t>*.docx</w:t>
      </w:r>
      <w:r>
        <w:rPr>
          <w:color w:val="111111"/>
          <w:sz w:val="28"/>
          <w:szCs w:val="28"/>
          <w:lang w:eastAsia="ru-RU"/>
        </w:rPr>
        <w:t>  или *.doc), содержащий все рисунки и таблицы;</w:t>
      </w:r>
    </w:p>
    <w:p>
      <w:pPr>
        <w:pStyle w:val="Normal"/>
        <w:widowControl/>
        <w:numPr>
          <w:ilvl w:val="0"/>
          <w:numId w:val="1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файлы рисунков (форматы *.tif, *.jpg, *png);</w:t>
      </w:r>
    </w:p>
    <w:p>
      <w:pPr>
        <w:pStyle w:val="Normal"/>
        <w:widowControl/>
        <w:numPr>
          <w:ilvl w:val="0"/>
          <w:numId w:val="1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файл</w:t>
      </w:r>
      <w:r>
        <w:rPr>
          <w:b/>
          <w:bCs/>
          <w:color w:val="111111"/>
          <w:sz w:val="28"/>
          <w:szCs w:val="28"/>
          <w:lang w:eastAsia="ru-RU"/>
        </w:rPr>
        <w:t> info.docx</w:t>
      </w:r>
      <w:r>
        <w:rPr>
          <w:color w:val="111111"/>
          <w:sz w:val="28"/>
          <w:szCs w:val="28"/>
          <w:lang w:eastAsia="ru-RU"/>
        </w:rPr>
        <w:t>, содержащий полные сведения о каждом авторе (фамилия, имя, отчество, место работы с полным наименованием и ведомственной принадлежностью, должность, ученая степень, электронный адрес) </w:t>
      </w:r>
      <w:r>
        <w:rPr>
          <w:b/>
          <w:bCs/>
          <w:color w:val="111111"/>
          <w:sz w:val="28"/>
          <w:szCs w:val="28"/>
          <w:lang w:eastAsia="ru-RU"/>
        </w:rPr>
        <w:t>на русском и английском языках</w:t>
      </w:r>
      <w:r>
        <w:rPr>
          <w:color w:val="111111"/>
          <w:sz w:val="28"/>
          <w:szCs w:val="28"/>
          <w:lang w:eastAsia="ru-RU"/>
        </w:rPr>
        <w:t>; должен быть также указан автор, с которым редакция будет вести переписку по всем вопросам, касающимся рукописи статьи; для этого автора, кроме электронного адреса, необходимо указать контактный телефон.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Датой поступления Рукописи в Журнал считается дата получения полного комплекта файлов, оформленных в полном соответствии с данными правилами. Предварительное рассмотрение рукописи, не заказанной Редакцией, не является фактом заключения издательского Договора между сторонами.</w:t>
      </w:r>
    </w:p>
    <w:p>
      <w:pPr>
        <w:pStyle w:val="Normal"/>
        <w:widowControl/>
        <w:numPr>
          <w:ilvl w:val="0"/>
          <w:numId w:val="0"/>
        </w:numPr>
        <w:spacing w:before="75" w:after="75"/>
        <w:ind w:firstLine="709"/>
        <w:jc w:val="both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0" w:name="_Toc109400968"/>
      <w:bookmarkStart w:id="1" w:name="_Toc109400953"/>
      <w:bookmarkEnd w:id="0"/>
      <w:bookmarkEnd w:id="1"/>
      <w:r>
        <w:rPr>
          <w:b/>
          <w:bCs/>
          <w:color w:val="0B4A5F"/>
          <w:sz w:val="28"/>
          <w:szCs w:val="28"/>
          <w:lang w:eastAsia="ru-RU"/>
        </w:rPr>
        <w:t>ТРЕБОВАНИЯ К СОДЕРЖАНИЮ И ОФОРМЛЕНИЮ ФАЙЛОВ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Файл с текстом рукописи должен содержать все рисунки и таблицы в том месте, где их видят авторы.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Поля страницы оставлять не менее 2.5 см.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При наборе использовать стандартный шрифт Times New Roman.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Размер шрифта 12 pt, в сносках 10 pt.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Межстрочный интервал полуторный.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Абзацные отступы (1.25 см), центрирование, выравнивание формата полосы выполнять с помощью автоматических функций программы (недопустимо для этих целей использовать пробелы).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При наборе центральных (самостоятельных) формул использовать формульный редактор Math Туре. Знак умножения обозначается точкой на средней линии. Все приводимые формулы должны иметь сквозную нумерацию. Номер пишется арабскими цифрами в круглых скобках в конце строчки.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Строки должны быть обозначены непрерывной нумерацией.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В </w:t>
      </w:r>
      <w:r>
        <w:rPr>
          <w:b/>
          <w:bCs/>
          <w:color w:val="111111"/>
          <w:sz w:val="28"/>
          <w:szCs w:val="28"/>
          <w:lang w:eastAsia="ru-RU"/>
        </w:rPr>
        <w:t>десятичных дробях</w:t>
      </w:r>
      <w:r>
        <w:rPr>
          <w:color w:val="111111"/>
          <w:sz w:val="28"/>
          <w:szCs w:val="28"/>
          <w:lang w:eastAsia="ru-RU"/>
        </w:rPr>
        <w:t> после целых чисел ставятся </w:t>
      </w:r>
      <w:r>
        <w:rPr>
          <w:b/>
          <w:bCs/>
          <w:color w:val="111111"/>
          <w:sz w:val="28"/>
          <w:szCs w:val="28"/>
          <w:lang w:eastAsia="ru-RU"/>
        </w:rPr>
        <w:t>точки </w:t>
      </w:r>
      <w:r>
        <w:rPr>
          <w:color w:val="111111"/>
          <w:sz w:val="28"/>
          <w:szCs w:val="28"/>
          <w:lang w:eastAsia="ru-RU"/>
        </w:rPr>
        <w:t>(а не запятые).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Файлы авторского оригинала должны иметь сквозную нумерацию страниц.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Сокращения слов (кроме общепринятых) и географических названий не допускаются.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Рукопись должна быть тщательно проверена авторами. Особенно внимательно необходимо проверять цитаты, специальные условные знаки, формулы, собственные имена, инициалы при фамилиях, географические названия, латинские названия животных и растений и т. п.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Иностранные фамилии, а также иностранные географические названия в тексте даются в русской транскрипции (иностранная транскрипция может быть приведена в скобках при первом упоминании).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Цитируемая литература (только опубликованная) даётся в конце статьи под заголовком «</w:t>
      </w:r>
      <w:r>
        <w:rPr>
          <w:b/>
          <w:bCs/>
          <w:color w:val="111111"/>
          <w:sz w:val="28"/>
          <w:szCs w:val="28"/>
          <w:lang w:eastAsia="ru-RU"/>
        </w:rPr>
        <w:t>Список литературы</w:t>
      </w:r>
      <w:r>
        <w:rPr>
          <w:color w:val="111111"/>
          <w:sz w:val="28"/>
          <w:szCs w:val="28"/>
          <w:lang w:eastAsia="ru-RU"/>
        </w:rPr>
        <w:t>». Ссылки на архивные материалы и рукописи даются в подстрочных примечаниях. Делать ссылку на работы, не поместив их выходные данные в список литературы, недопустимо. Ссылки в тексте на порядковый номер списка литературы даются в таком виде: [1, с. 14].</w:t>
      </w:r>
    </w:p>
    <w:p>
      <w:pPr>
        <w:pStyle w:val="Normal"/>
        <w:widowControl/>
        <w:numPr>
          <w:ilvl w:val="0"/>
          <w:numId w:val="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Подстрочные примечания должны располагаться в конце каждой страницы.</w:t>
      </w:r>
    </w:p>
    <w:p>
      <w:pPr>
        <w:pStyle w:val="Normal"/>
        <w:widowControl/>
        <w:numPr>
          <w:ilvl w:val="0"/>
          <w:numId w:val="0"/>
        </w:numPr>
        <w:spacing w:before="75" w:after="75"/>
        <w:ind w:firstLine="709"/>
        <w:jc w:val="both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2" w:name="_Toc109400969"/>
      <w:bookmarkStart w:id="3" w:name="_Toc109400954"/>
      <w:bookmarkEnd w:id="2"/>
      <w:bookmarkEnd w:id="3"/>
      <w:r>
        <w:rPr>
          <w:b/>
          <w:bCs/>
          <w:color w:val="0B4A5F"/>
          <w:sz w:val="28"/>
          <w:szCs w:val="28"/>
          <w:lang w:eastAsia="ru-RU"/>
        </w:rPr>
        <w:t>ПОРЯДОК РАСПОЛОЖЕНИЯ МАТЕРИАЛОВ В ФАЙЛЕ</w:t>
      </w:r>
    </w:p>
    <w:p>
      <w:pPr>
        <w:pStyle w:val="Normal"/>
        <w:widowControl/>
        <w:numPr>
          <w:ilvl w:val="0"/>
          <w:numId w:val="3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Заглавие статьи (прописными буквами, полужирным шрифтом);</w:t>
      </w:r>
    </w:p>
    <w:p>
      <w:pPr>
        <w:pStyle w:val="Normal"/>
        <w:widowControl/>
        <w:numPr>
          <w:ilvl w:val="0"/>
          <w:numId w:val="3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Инициалы и фамилии авторов (строчными буквами, полужирным шрифтом).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Если статья имеет несколько авторов, то после фамилии каждого автора ставится сноска буквой латинского алфавита курсивом (верхний индекс), указывающая на аффилиацию знаками </w:t>
      </w:r>
      <w:r>
        <w:rPr>
          <w:color w:val="111111"/>
          <w:sz w:val="28"/>
          <w:szCs w:val="28"/>
          <w:vertAlign w:val="superscript"/>
          <w:lang w:eastAsia="ru-RU"/>
        </w:rPr>
        <w:t>1 </w:t>
      </w:r>
      <w:r>
        <w:rPr>
          <w:color w:val="111111"/>
          <w:sz w:val="28"/>
          <w:szCs w:val="28"/>
          <w:lang w:eastAsia="ru-RU"/>
        </w:rPr>
        <w:t>(или </w:t>
      </w:r>
      <w:r>
        <w:rPr>
          <w:color w:val="111111"/>
          <w:sz w:val="28"/>
          <w:szCs w:val="28"/>
          <w:vertAlign w:val="superscript"/>
          <w:lang w:eastAsia="ru-RU"/>
        </w:rPr>
        <w:t>2,3</w:t>
      </w:r>
      <w:r>
        <w:rPr>
          <w:color w:val="111111"/>
          <w:sz w:val="28"/>
          <w:szCs w:val="28"/>
          <w:lang w:eastAsia="ru-RU"/>
        </w:rPr>
        <w:t> и т. д.). После этой сноски и запятой ставится *, указывающий на электронную почту автора, который осуществляет переписку с редакцией журнала (см. ниже).</w:t>
      </w:r>
    </w:p>
    <w:p>
      <w:pPr>
        <w:pStyle w:val="Normal"/>
        <w:widowControl/>
        <w:numPr>
          <w:ilvl w:val="0"/>
          <w:numId w:val="4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Данные об аффилиации каждого автора: наименование организации (без указания принадлежности ведомству), город, страна.</w:t>
      </w:r>
    </w:p>
    <w:p>
      <w:pPr>
        <w:pStyle w:val="Normal"/>
        <w:widowControl/>
        <w:numPr>
          <w:ilvl w:val="0"/>
          <w:numId w:val="4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Электронная почта (e-mail) автора, отвечающего за переписку.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Пример</w:t>
      </w:r>
      <w:r>
        <w:rPr>
          <w:color w:val="111111"/>
          <w:sz w:val="28"/>
          <w:szCs w:val="28"/>
          <w:lang w:eastAsia="ru-RU"/>
        </w:rPr>
        <w:t>:</w:t>
      </w:r>
    </w:p>
    <w:tbl>
      <w:tblPr>
        <w:tblW w:w="5000" w:type="pct"/>
        <w:jc w:val="left"/>
        <w:tblInd w:w="6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9069"/>
      </w:tblGrid>
      <w:tr>
        <w:trPr/>
        <w:tc>
          <w:tcPr>
            <w:tcW w:w="9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ДЕМОГРАФИЧЕСКИЕ ПРОБЛЕМЫ ШАНТАРСКИХ ОСТРОВОВ</w:t>
            </w:r>
          </w:p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И.И. Иванов </w:t>
            </w:r>
            <w:r>
              <w:rPr>
                <w:i/>
                <w:iCs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sz w:val="28"/>
                <w:szCs w:val="28"/>
                <w:vertAlign w:val="superscript"/>
                <w:lang w:eastAsia="ru-RU"/>
              </w:rPr>
              <w:t>, </w:t>
            </w:r>
            <w:r>
              <w:rPr>
                <w:b/>
                <w:bCs/>
                <w:sz w:val="28"/>
                <w:szCs w:val="28"/>
                <w:lang w:eastAsia="ru-RU"/>
              </w:rPr>
              <w:t>, П.П. Петров</w:t>
            </w:r>
            <w:r>
              <w:rPr>
                <w:i/>
                <w:iCs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sz w:val="28"/>
                <w:szCs w:val="28"/>
                <w:vertAlign w:val="superscript"/>
                <w:lang w:eastAsia="ru-RU"/>
              </w:rPr>
              <w:t>, * </w:t>
            </w:r>
            <w:r>
              <w:rPr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>
              <w:rPr>
                <w:b/>
                <w:bCs/>
                <w:sz w:val="28"/>
                <w:szCs w:val="28"/>
                <w:lang w:eastAsia="ru-RU"/>
              </w:rPr>
              <w:t>В.В. Васильев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vertAlign w:val="superscript"/>
                <w:lang w:eastAsia="ru-RU"/>
              </w:rPr>
              <w:t>1 </w:t>
            </w:r>
            <w:r>
              <w:rPr>
                <w:i/>
                <w:iCs/>
                <w:sz w:val="28"/>
                <w:szCs w:val="28"/>
                <w:lang w:eastAsia="ru-RU"/>
              </w:rPr>
              <w:t>Московский государственный университет имени М.В. Ломоносова, Москва, Россия</w:t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i/>
                <w:iCs/>
                <w:sz w:val="28"/>
                <w:szCs w:val="28"/>
                <w:vertAlign w:val="superscript"/>
                <w:lang w:eastAsia="ru-RU"/>
              </w:rPr>
              <w:t>2 </w:t>
            </w:r>
            <w:r>
              <w:rPr>
                <w:i/>
                <w:iCs/>
                <w:sz w:val="28"/>
                <w:szCs w:val="28"/>
                <w:lang w:eastAsia="ru-RU"/>
              </w:rPr>
              <w:t>Институт водных проблем РАН, Москва, Россия</w:t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i/>
                <w:iCs/>
                <w:sz w:val="28"/>
                <w:szCs w:val="28"/>
                <w:vertAlign w:val="superscript"/>
                <w:lang w:eastAsia="ru-RU"/>
              </w:rPr>
              <w:t>3 </w:t>
            </w:r>
            <w:r>
              <w:rPr>
                <w:i/>
                <w:iCs/>
                <w:sz w:val="28"/>
                <w:szCs w:val="28"/>
                <w:lang w:eastAsia="ru-RU"/>
              </w:rPr>
              <w:t>Институт озероведения РАН, Санкт-Петербург, Россия</w:t>
            </w:r>
          </w:p>
          <w:p>
            <w:pPr>
              <w:pStyle w:val="Normal"/>
              <w:widowControl/>
              <w:spacing w:before="0" w:after="240"/>
              <w:ind w:firstLine="709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i/>
                <w:iCs/>
                <w:sz w:val="28"/>
                <w:szCs w:val="28"/>
                <w:lang w:val="en-US" w:eastAsia="ru-RU"/>
              </w:rPr>
              <w:t>*E-mail:  petrov@mail.ru</w:t>
            </w:r>
          </w:p>
        </w:tc>
      </w:tr>
    </w:tbl>
    <w:p>
      <w:pPr>
        <w:pStyle w:val="Normal"/>
        <w:widowControl/>
        <w:numPr>
          <w:ilvl w:val="0"/>
          <w:numId w:val="5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Аннотация</w:t>
      </w:r>
      <w:r>
        <w:rPr>
          <w:color w:val="111111"/>
          <w:sz w:val="28"/>
          <w:szCs w:val="28"/>
          <w:lang w:eastAsia="ru-RU"/>
        </w:rPr>
        <w:t> (объёмом не менее 100 и не более 300 слов). Она должна содержать краткое содержание статьи, включающее описание целей и методов исследования, а также основных результатов. Запрещено использовать редко используемые аббревиатуры или термины, впервые представленные в статье;</w:t>
      </w:r>
    </w:p>
    <w:p>
      <w:pPr>
        <w:pStyle w:val="Normal"/>
        <w:widowControl/>
        <w:numPr>
          <w:ilvl w:val="0"/>
          <w:numId w:val="5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Ключевые слова</w:t>
      </w:r>
      <w:r>
        <w:rPr>
          <w:color w:val="111111"/>
          <w:sz w:val="28"/>
          <w:szCs w:val="28"/>
          <w:lang w:eastAsia="ru-RU"/>
        </w:rPr>
        <w:t>: от 5 до 10 слов (сочетаний слов), разделённых запятыми;</w:t>
      </w:r>
    </w:p>
    <w:p>
      <w:pPr>
        <w:pStyle w:val="Normal"/>
        <w:widowControl/>
        <w:numPr>
          <w:ilvl w:val="0"/>
          <w:numId w:val="5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Текст статьи </w:t>
      </w:r>
      <w:r>
        <w:rPr>
          <w:b/>
          <w:bCs/>
          <w:color w:val="111111"/>
          <w:sz w:val="28"/>
          <w:szCs w:val="28"/>
          <w:lang w:eastAsia="ru-RU"/>
        </w:rPr>
        <w:t>с рисунками и таблицами, </w:t>
      </w:r>
      <w:r>
        <w:rPr>
          <w:color w:val="111111"/>
          <w:sz w:val="28"/>
          <w:szCs w:val="28"/>
          <w:lang w:eastAsia="ru-RU"/>
        </w:rPr>
        <w:t>вставленными в соответствующих местах (после первого упоминания в тексте).</w:t>
      </w:r>
    </w:p>
    <w:p>
      <w:pPr>
        <w:pStyle w:val="Normal"/>
        <w:widowControl/>
        <w:numPr>
          <w:ilvl w:val="0"/>
          <w:numId w:val="5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Необходимо структурирование текста (</w:t>
      </w:r>
      <w:r>
        <w:rPr>
          <w:b/>
          <w:bCs/>
          <w:color w:val="111111"/>
          <w:sz w:val="28"/>
          <w:szCs w:val="28"/>
          <w:lang w:eastAsia="ru-RU"/>
        </w:rPr>
        <w:t>«Введение»; «Методика исследований»; «Результаты»;  «Обсуждение»; «Заключение»</w:t>
      </w:r>
      <w:r>
        <w:rPr>
          <w:color w:val="111111"/>
          <w:sz w:val="28"/>
          <w:szCs w:val="28"/>
          <w:lang w:eastAsia="ru-RU"/>
        </w:rPr>
        <w:t> и т. п.) с выделением подзаголовков прописными буквами. Подробнее про структуру см. ниже.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Весь иллюстративный материал (схемы, рисунки, диаграммы, графики, карты, фотографии) именуется рисунками. Они имеет сквозную порядковую нумерацию арабскими цифрами (Рис. 1, Рис. 2…). Подписи приводятся последовательно к каждому рисунку под соответствующими заголовками. Каждый рисунок помещается в рукописи ниже первой ссылки на него в тексте. О требованиях к качеству рисунков см. ниже.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Таблицы должны иметь заголовки и сквозную порядковую нумерацию, обозначаемую арабскими цифрами (Таблица 1, Таблица 2, ...). В тексте ссылки на таблицы нужно давать сокращённо (табл. 1, табл. 2, …); первая ссылка на таблицу должна быть выше соответствующей таблицы. Заголовок таблицы должен отражать её основное содержание. Содержание таблиц не должно полностью дублировать текст статьи или рисунков. Материал, приводимый в таблице, должен быть понятен без дополнительного обращения к тексту. Все сокращения, использованные в таблице, должны быть пояснены в примечании (примечаниях).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Подрисуночные подписи и названия таблиц приводятся на русском и английском языках.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Пример подрисуночной подписи и названия таблицы</w:t>
      </w:r>
    </w:p>
    <w:tbl>
      <w:tblPr>
        <w:tblW w:w="5000" w:type="pct"/>
        <w:jc w:val="left"/>
        <w:tblInd w:w="6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9069"/>
      </w:tblGrid>
      <w:tr>
        <w:trPr/>
        <w:tc>
          <w:tcPr>
            <w:tcW w:w="9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Рис. 1. Остров Матуа. Полигоны георадиолокационного обследования: А-Г –зондирование по методике ОГТ (пояснения в тексте); 01-10 – площадки для георадарного обследования; Д – фрагмент «Схемы обороны и инженерного оборудования острова Мацуво-то», 1946 г. [14].</w:t>
            </w:r>
          </w:p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Fig. 1. Matua island. Areas of GPR surveys. “A-</w:t>
            </w:r>
            <w:r>
              <w:rPr>
                <w:sz w:val="28"/>
                <w:szCs w:val="28"/>
                <w:lang w:eastAsia="ru-RU"/>
              </w:rPr>
              <w:t>Г</w:t>
            </w:r>
            <w:r>
              <w:rPr>
                <w:sz w:val="28"/>
                <w:szCs w:val="28"/>
                <w:lang w:val="en-US" w:eastAsia="ru-RU"/>
              </w:rPr>
              <w:t>” – CMP survey (explanation in text); 01-10 – locations for GPR survey; “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val="en-US" w:eastAsia="ru-RU"/>
              </w:rPr>
              <w:t>” – fragment of “Defense and engineering equipment schemes of Matsuvo-to island”, 1946 y. [14].</w:t>
            </w:r>
          </w:p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/>
            </w:r>
          </w:p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Табл. 1. Численность населения крупных административных единиц Албании в 2001 – 2018 гг. </w:t>
            </w:r>
            <w:r>
              <w:rPr>
                <w:sz w:val="28"/>
                <w:szCs w:val="28"/>
                <w:lang w:val="en-US"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по</w:t>
            </w:r>
            <w:r>
              <w:rPr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состоянию</w:t>
            </w:r>
            <w:r>
              <w:rPr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на</w:t>
            </w:r>
            <w:r>
              <w:rPr>
                <w:sz w:val="28"/>
                <w:szCs w:val="28"/>
                <w:lang w:val="en-US" w:eastAsia="ru-RU"/>
              </w:rPr>
              <w:t xml:space="preserve"> 1.01); </w:t>
            </w:r>
            <w:r>
              <w:rPr>
                <w:sz w:val="28"/>
                <w:szCs w:val="28"/>
                <w:lang w:eastAsia="ru-RU"/>
              </w:rPr>
              <w:t>рассчитано</w:t>
            </w:r>
            <w:r>
              <w:rPr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по</w:t>
            </w:r>
            <w:r>
              <w:rPr>
                <w:sz w:val="28"/>
                <w:szCs w:val="28"/>
                <w:lang w:val="en-US" w:eastAsia="ru-RU"/>
              </w:rPr>
              <w:t xml:space="preserve"> [19].</w:t>
            </w:r>
          </w:p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/>
            </w:r>
          </w:p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Tab. 1. The population of the of the large administrative units of Albania in 2001 – 2018 (as of 1.01); calculated according to [19].</w:t>
            </w:r>
          </w:p>
        </w:tc>
      </w:tr>
    </w:tbl>
    <w:p>
      <w:pPr>
        <w:pStyle w:val="Normal"/>
        <w:widowControl/>
        <w:numPr>
          <w:ilvl w:val="0"/>
          <w:numId w:val="6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Список литературы на русском языке. Правила оформления списка литературы см. ниже. Для удобства сбора списка литературы подготовлен специальный скрипт для Mendeley, позволяющий собирать список литературы автоматически: https://github.com/atsyplenkov/mendeley-citing-styles/tree/main?tab=readme-ov-file</w:t>
      </w:r>
    </w:p>
    <w:p>
      <w:pPr>
        <w:pStyle w:val="Normal"/>
        <w:widowControl/>
        <w:numPr>
          <w:ilvl w:val="0"/>
          <w:numId w:val="6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Название статьи на английском языке (строчными буквами, полужирным шрифтом) – должно быть адекватным переводом русского названия. Автоматический («машинный») перевод не допускается.</w:t>
      </w:r>
    </w:p>
    <w:p>
      <w:pPr>
        <w:pStyle w:val="Normal"/>
        <w:widowControl/>
        <w:numPr>
          <w:ilvl w:val="0"/>
          <w:numId w:val="6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Инициалы и фамилии авторов, набранные на латинице (строчными буквами, полужирным шрифтом).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Если статья имеет несколько авторов, то после фамилии каждого автора ставится сноска цифрой (верхний индекс), указывающая на аффилиацию. После этой сноски и запятой ставится знак * (или **, *** и т. д.), указывающий на электронную почту автора (см. ниже).</w:t>
      </w:r>
    </w:p>
    <w:p>
      <w:pPr>
        <w:pStyle w:val="Normal"/>
        <w:widowControl/>
        <w:numPr>
          <w:ilvl w:val="0"/>
          <w:numId w:val="7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Аффилиация каждого автора − аналогично варианту на кириллице.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Данные об аффилиации каждого автора на английском языке должны быть адекватным переводом русских названий. Автоматический («машинный») перевод не допускается.</w:t>
      </w:r>
    </w:p>
    <w:p>
      <w:pPr>
        <w:pStyle w:val="Normal"/>
        <w:widowControl/>
        <w:numPr>
          <w:ilvl w:val="0"/>
          <w:numId w:val="8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Электронная почта (e-mail) автора, отвечающего за переписку.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Пример</w:t>
      </w:r>
    </w:p>
    <w:tbl>
      <w:tblPr>
        <w:tblW w:w="5000" w:type="pct"/>
        <w:jc w:val="left"/>
        <w:tblInd w:w="6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9069"/>
      </w:tblGrid>
      <w:tr>
        <w:trPr/>
        <w:tc>
          <w:tcPr>
            <w:tcW w:w="9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val="en-US" w:eastAsia="ru-RU"/>
              </w:rPr>
              <w:t>Demographic problems of Shantar islands</w:t>
            </w:r>
          </w:p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val="en-US" w:eastAsia="ru-RU"/>
              </w:rPr>
              <w:t>I.I. Ivanov</w:t>
            </w:r>
            <w:r>
              <w:rPr>
                <w:sz w:val="28"/>
                <w:szCs w:val="28"/>
                <w:vertAlign w:val="superscript"/>
                <w:lang w:val="en-US" w:eastAsia="ru-RU"/>
              </w:rPr>
              <w:t>1</w:t>
            </w:r>
            <w:r>
              <w:rPr>
                <w:b/>
                <w:bCs/>
                <w:sz w:val="28"/>
                <w:szCs w:val="28"/>
                <w:lang w:val="en-US" w:eastAsia="ru-RU"/>
              </w:rPr>
              <w:t>, P.P.Petrov</w:t>
            </w:r>
            <w:r>
              <w:rPr>
                <w:sz w:val="28"/>
                <w:szCs w:val="28"/>
                <w:vertAlign w:val="superscript"/>
                <w:lang w:val="en-US" w:eastAsia="ru-RU"/>
              </w:rPr>
              <w:t>2, *</w:t>
            </w:r>
            <w:r>
              <w:rPr>
                <w:b/>
                <w:bCs/>
                <w:sz w:val="28"/>
                <w:szCs w:val="28"/>
                <w:lang w:val="en-US" w:eastAsia="ru-RU"/>
              </w:rPr>
              <w:t>,</w:t>
            </w:r>
            <w:r>
              <w:rPr>
                <w:b/>
                <w:bCs/>
                <w:i/>
                <w:iCs/>
                <w:sz w:val="28"/>
                <w:szCs w:val="28"/>
                <w:lang w:val="en-US" w:eastAsia="ru-RU"/>
              </w:rPr>
              <w:t> </w:t>
            </w:r>
            <w:r>
              <w:rPr>
                <w:b/>
                <w:bCs/>
                <w:sz w:val="28"/>
                <w:szCs w:val="28"/>
                <w:lang w:val="en-US" w:eastAsia="ru-RU"/>
              </w:rPr>
              <w:t>V.V.Vasilev</w:t>
            </w:r>
            <w:r>
              <w:rPr>
                <w:sz w:val="28"/>
                <w:szCs w:val="28"/>
                <w:vertAlign w:val="superscript"/>
                <w:lang w:val="en-US" w:eastAsia="ru-RU"/>
              </w:rPr>
              <w:t>3</w:t>
            </w:r>
          </w:p>
          <w:p>
            <w:pPr>
              <w:pStyle w:val="Normal"/>
              <w:widowControl/>
              <w:ind w:firstLine="709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i/>
                <w:iCs/>
                <w:sz w:val="28"/>
                <w:szCs w:val="28"/>
                <w:vertAlign w:val="superscript"/>
                <w:lang w:val="en-US" w:eastAsia="ru-RU"/>
              </w:rPr>
              <w:t>1 </w:t>
            </w:r>
            <w:r>
              <w:rPr>
                <w:sz w:val="28"/>
                <w:szCs w:val="28"/>
                <w:lang w:val="en-US" w:eastAsia="ru-RU"/>
              </w:rPr>
              <w:t>Lomonosov Moscow State University, Moscow, Russia</w:t>
              <w:br/>
            </w:r>
            <w:r>
              <w:rPr>
                <w:i/>
                <w:iCs/>
                <w:sz w:val="28"/>
                <w:szCs w:val="28"/>
                <w:vertAlign w:val="superscript"/>
                <w:lang w:val="en-US" w:eastAsia="ru-RU"/>
              </w:rPr>
              <w:t>2 </w:t>
            </w:r>
            <w:r>
              <w:rPr>
                <w:sz w:val="28"/>
                <w:szCs w:val="28"/>
                <w:lang w:val="en-US" w:eastAsia="ru-RU"/>
              </w:rPr>
              <w:t>Water Problems Institute of the Russian Academy of Sciences, Moscow, Russia</w:t>
              <w:br/>
            </w:r>
            <w:r>
              <w:rPr>
                <w:i/>
                <w:iCs/>
                <w:sz w:val="28"/>
                <w:szCs w:val="28"/>
                <w:vertAlign w:val="superscript"/>
                <w:lang w:val="en-US" w:eastAsia="ru-RU"/>
              </w:rPr>
              <w:t>3 </w:t>
            </w:r>
            <w:r>
              <w:rPr>
                <w:sz w:val="28"/>
                <w:szCs w:val="28"/>
                <w:lang w:val="en-US" w:eastAsia="ru-RU"/>
              </w:rPr>
              <w:t>Institute of Limnology of the Russian Academy of Sciences, Saint Petersburg, Russia</w:t>
            </w:r>
          </w:p>
          <w:p>
            <w:pPr>
              <w:pStyle w:val="Normal"/>
              <w:widowControl/>
              <w:spacing w:before="0" w:after="240"/>
              <w:ind w:firstLine="709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i/>
                <w:iCs/>
                <w:sz w:val="28"/>
                <w:szCs w:val="28"/>
                <w:lang w:val="en-US" w:eastAsia="ru-RU"/>
              </w:rPr>
              <w:t>*E-mail:  petrov@mail.ru</w:t>
            </w:r>
          </w:p>
        </w:tc>
      </w:tr>
    </w:tbl>
    <w:p>
      <w:pPr>
        <w:pStyle w:val="Normal"/>
        <w:widowControl/>
        <w:numPr>
          <w:ilvl w:val="0"/>
          <w:numId w:val="9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Аннотация на английском языке – должно быть точным и адекватным переводом резюме на русском языке. Автоматический («машинный») перевод не допускается.</w:t>
      </w:r>
    </w:p>
    <w:p>
      <w:pPr>
        <w:pStyle w:val="Normal"/>
        <w:widowControl/>
        <w:numPr>
          <w:ilvl w:val="0"/>
          <w:numId w:val="9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Ключевые слова на английском языке (Keywords): должны быть точным и адекватным переводом ключевых слов на русском языке. Автоматический («машинный») перевод не допускается.</w:t>
      </w:r>
    </w:p>
    <w:p>
      <w:pPr>
        <w:pStyle w:val="Normal"/>
        <w:widowControl/>
        <w:numPr>
          <w:ilvl w:val="0"/>
          <w:numId w:val="9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Список литературы, набранный латиницей (References).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В соответствии с современными требованиями систем индексирования научных цитирований, фамилии авторов, названия публикаций и их выходные данные, помещенные в списке литературы на кириллице, должны быть набраны латиницей. Фамилии и названия транслитерируются по ГОСТ 7.79-2000. Можно использовать для этого Интернет-сервис: </w:t>
      </w:r>
      <w:hyperlink r:id="rId2">
        <w:r>
          <w:rPr>
            <w:rStyle w:val="Style8"/>
            <w:color w:val="003F6C"/>
            <w:sz w:val="28"/>
            <w:szCs w:val="28"/>
            <w:u w:val="single"/>
            <w:lang w:eastAsia="ru-RU"/>
          </w:rPr>
          <w:t>http://ru.translit.ru/?account=gost-7-79-2000</w:t>
        </w:r>
      </w:hyperlink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Порядок ссылок сохраняется таким же, как в списке литературы на русском языке. Библиографические данные источников на латинице остаются без изменений.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Пример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References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[1] Berg L. S. Fiziko-geograficheskie (landshaftnye) zony SSSR. Izd. 2-e. L. : Izd-vo LGU, 1936. Ch. 1. 254 s.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[2] Vorob'ev I. E. Ostrov Chetyrexstolbovyj // Izv. RGO. 1940. T. 72, vyp. 3. S. 181—190.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[18] Solncev V. N. Strukturnoe landshaftovedenie: osnovy koncepcii // Struktura, funkcionirovanie, e'volyuciya prirodnyx i antropogennyx landshaftov : tez. X landshaftnoj konf. M.; SPb., 1997. S. 11—14.</w:t>
      </w:r>
    </w:p>
    <w:p>
      <w:pPr>
        <w:pStyle w:val="Normal"/>
        <w:widowControl/>
        <w:numPr>
          <w:ilvl w:val="0"/>
          <w:numId w:val="0"/>
        </w:numPr>
        <w:spacing w:before="75" w:after="75"/>
        <w:ind w:firstLine="709"/>
        <w:jc w:val="both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4" w:name="_Toc109400970"/>
      <w:bookmarkStart w:id="5" w:name="_Toc109400955"/>
      <w:bookmarkEnd w:id="4"/>
      <w:bookmarkEnd w:id="5"/>
      <w:r>
        <w:rPr>
          <w:b/>
          <w:bCs/>
          <w:color w:val="0B4A5F"/>
          <w:sz w:val="28"/>
          <w:szCs w:val="28"/>
          <w:lang w:eastAsia="ru-RU"/>
        </w:rPr>
        <w:t>ТРЕБОВАНИЯ К СТРУКТУРЕ СТАТЬИ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Мы используем формат IMRAD: Введение, Методы, Результаты, Обсуждение, Заключение. К публикации принимаются только те статьи, которые соответствуют этому формату. Для лучшего понимания структуры принимаемой рукописи мы настоятельно рекомендуем вам ознакомиться со статьей </w:t>
      </w:r>
      <w:hyperlink r:id="rId3" w:tgtFrame="_blank">
        <w:r>
          <w:rPr>
            <w:rStyle w:val="Style8"/>
            <w:i/>
            <w:iCs/>
            <w:color w:val="003F6C"/>
            <w:sz w:val="28"/>
            <w:szCs w:val="28"/>
            <w:lang w:eastAsia="ru-RU"/>
          </w:rPr>
          <w:t>Mensh B., Kording K. Ten simple rules for structuring papers. – 2017.</w:t>
        </w:r>
      </w:hyperlink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Во </w:t>
      </w:r>
      <w:r>
        <w:rPr>
          <w:b/>
          <w:bCs/>
          <w:color w:val="111111"/>
          <w:sz w:val="28"/>
          <w:szCs w:val="28"/>
          <w:lang w:eastAsia="ru-RU"/>
        </w:rPr>
        <w:t>Введении </w:t>
      </w:r>
      <w:r>
        <w:rPr>
          <w:color w:val="111111"/>
          <w:sz w:val="28"/>
          <w:szCs w:val="28"/>
          <w:lang w:eastAsia="ru-RU"/>
        </w:rPr>
        <w:t>необходимо дать предысторию вопроса (т.н. контекст исследования), показать почему вы этот предмет изучаете (т.е. показать, что есть белое пятно в этой области науки), а также предоставить план, по которому вы будете решать проблему (цели и задачи). Старайтесь избегать подробного обзора литературы или краткого изложения результатов.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Материалы и методы</w:t>
      </w:r>
      <w:r>
        <w:rPr>
          <w:color w:val="111111"/>
          <w:sz w:val="28"/>
          <w:szCs w:val="28"/>
          <w:lang w:eastAsia="ru-RU"/>
        </w:rPr>
        <w:t>. Предоставьте достаточно подробную информацию о том, на каких данных и каким образом вы получили свои результаты, чтобы работа могла быть воспроизведена независимым исследователем. Уже опубликованные методы должны быть кратко описаны и снабжены ссылками. Если цитата взята непосредственно из ранее опубликованного метода, используйте кавычки, а также приводите ссылку на источник. Любые модификации существующих методов также должны быть описаны.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Результаты</w:t>
      </w:r>
      <w:r>
        <w:rPr>
          <w:color w:val="111111"/>
          <w:sz w:val="28"/>
          <w:szCs w:val="28"/>
          <w:lang w:eastAsia="ru-RU"/>
        </w:rPr>
        <w:t>. Результаты должны быть четкими и краткими. Излагайте их в той же последовательности, в которой вы описывали методы. Необходима </w:t>
      </w:r>
      <w:r>
        <w:rPr>
          <w:b/>
          <w:bCs/>
          <w:color w:val="111111"/>
          <w:sz w:val="28"/>
          <w:szCs w:val="28"/>
          <w:lang w:eastAsia="ru-RU"/>
        </w:rPr>
        <w:t>объективная</w:t>
      </w:r>
      <w:r>
        <w:rPr>
          <w:color w:val="111111"/>
          <w:sz w:val="28"/>
          <w:szCs w:val="28"/>
          <w:lang w:eastAsia="ru-RU"/>
        </w:rPr>
        <w:t> оценка результатов. Избегайте таких фраз, как «К удивлению авторов…» или «Противоположно нашим ожиданиям…». Этот раздел должен просто представить полученные вами результаты </w:t>
      </w:r>
      <w:r>
        <w:rPr>
          <w:b/>
          <w:bCs/>
          <w:color w:val="111111"/>
          <w:sz w:val="28"/>
          <w:szCs w:val="28"/>
          <w:lang w:eastAsia="ru-RU"/>
        </w:rPr>
        <w:t>без интерпретации</w:t>
      </w:r>
      <w:r>
        <w:rPr>
          <w:color w:val="111111"/>
          <w:sz w:val="28"/>
          <w:szCs w:val="28"/>
          <w:lang w:eastAsia="ru-RU"/>
        </w:rPr>
        <w:t>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Обсуждение.</w:t>
      </w:r>
      <w:r>
        <w:rPr>
          <w:color w:val="111111"/>
          <w:sz w:val="28"/>
          <w:szCs w:val="28"/>
          <w:lang w:eastAsia="ru-RU"/>
        </w:rPr>
        <w:t> Это обычно самый большой раздел статьи, посвященный обзору полученных вами результатов. Мы рекомендуем выделить четыре блока (не обязательно давать названия подразделам). Первый блок посвящен краткому суммированию основных результатов (1 абзац) и их </w:t>
      </w:r>
      <w:r>
        <w:rPr>
          <w:b/>
          <w:bCs/>
          <w:color w:val="111111"/>
          <w:sz w:val="28"/>
          <w:szCs w:val="28"/>
          <w:lang w:eastAsia="ru-RU"/>
        </w:rPr>
        <w:t>авторской интерпретацией</w:t>
      </w:r>
      <w:r>
        <w:rPr>
          <w:color w:val="111111"/>
          <w:sz w:val="28"/>
          <w:szCs w:val="28"/>
          <w:lang w:eastAsia="ru-RU"/>
        </w:rPr>
        <w:t>. Во втором блоке вам необходимо представить ваши результаты в контексте международных исследований вашей области. Сравнение с мировыми наработками по вашей теме необходимо, нельзя ограничиваться только отечественными статьями и книгами. Третий блок посвящен описанию недостатков (ограничений) вашего исследования. В последнем блоке статьи следует обсудить последствия ваших результатов и выводов. Чрезвычайно распространенная ошибка здесь — простое заключение «нужны дополнительные исследования». Не делайте этого. Высказывайте более сложные и подробные рекомендации. Продемонстрируйте, что вы действительно думали о предмете и искренне хотите, чтобы ваша область развивалась на основе полученных результатов.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Заключение</w:t>
      </w:r>
      <w:r>
        <w:rPr>
          <w:color w:val="111111"/>
          <w:sz w:val="28"/>
          <w:szCs w:val="28"/>
          <w:lang w:eastAsia="ru-RU"/>
        </w:rPr>
        <w:t>. Основные выводы исследования.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numPr>
          <w:ilvl w:val="0"/>
          <w:numId w:val="0"/>
        </w:numPr>
        <w:spacing w:before="75" w:after="75"/>
        <w:ind w:firstLine="709"/>
        <w:jc w:val="both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6" w:name="_Toc109400971"/>
      <w:bookmarkStart w:id="7" w:name="_Toc109400956"/>
      <w:bookmarkEnd w:id="6"/>
      <w:bookmarkEnd w:id="7"/>
      <w:r>
        <w:rPr>
          <w:b/>
          <w:bCs/>
          <w:color w:val="0B4A5F"/>
          <w:sz w:val="28"/>
          <w:szCs w:val="28"/>
          <w:lang w:eastAsia="ru-RU"/>
        </w:rPr>
        <w:t>ТРЕБОВАНИЯ К ЦИФРОВЫМ ИЗОБРАЖЕНИЯМ (ВКЛЮЧАЯ ФОТОГРАФИИ)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Графический материал, прилагаемый к статье, должен быть выполнен настолько отчётливо, чтобы можно было в нем разобраться без помощи автора.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По техническим причинам разрешено наличие только </w:t>
      </w:r>
      <w:r>
        <w:rPr>
          <w:b/>
          <w:bCs/>
          <w:color w:val="111111"/>
          <w:sz w:val="28"/>
          <w:szCs w:val="28"/>
          <w:lang w:eastAsia="ru-RU"/>
        </w:rPr>
        <w:t>одного цветного </w:t>
      </w:r>
      <w:r>
        <w:rPr>
          <w:color w:val="111111"/>
          <w:sz w:val="28"/>
          <w:szCs w:val="28"/>
          <w:lang w:eastAsia="ru-RU"/>
        </w:rPr>
        <w:t>рисунка в статье. Все остальные рисунки должны быть черно-белыми.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Штриховые и тоновые (растровые) изображения представляются (независимо от той программы, в которой они были созданы) в виде файлов  с расширением: </w:t>
      </w:r>
      <w:r>
        <w:rPr>
          <w:b/>
          <w:bCs/>
          <w:color w:val="111111"/>
          <w:sz w:val="28"/>
          <w:szCs w:val="28"/>
          <w:lang w:eastAsia="ru-RU"/>
        </w:rPr>
        <w:t>*.tif, *.jpg, *.png; </w:t>
      </w:r>
      <w:r>
        <w:rPr>
          <w:color w:val="111111"/>
          <w:sz w:val="28"/>
          <w:szCs w:val="28"/>
          <w:lang w:eastAsia="ru-RU"/>
        </w:rPr>
        <w:t>не должно быть компрессии с потерями.</w:t>
      </w:r>
    </w:p>
    <w:p>
      <w:pPr>
        <w:pStyle w:val="Normal"/>
        <w:widowControl/>
        <w:numPr>
          <w:ilvl w:val="0"/>
          <w:numId w:val="10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Разрешение фотографий должно быть не менее 300 dpi</w:t>
      </w:r>
    </w:p>
    <w:p>
      <w:pPr>
        <w:pStyle w:val="Normal"/>
        <w:widowControl/>
        <w:numPr>
          <w:ilvl w:val="0"/>
          <w:numId w:val="10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Изображения на фотографии должны быть чёткими, но не очень контрастными.</w:t>
      </w:r>
    </w:p>
    <w:p>
      <w:pPr>
        <w:pStyle w:val="Normal"/>
        <w:widowControl/>
        <w:numPr>
          <w:ilvl w:val="0"/>
          <w:numId w:val="10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Зернистость фотографии не должна быть заметной.</w:t>
      </w:r>
    </w:p>
    <w:p>
      <w:pPr>
        <w:pStyle w:val="Normal"/>
        <w:widowControl/>
        <w:numPr>
          <w:ilvl w:val="0"/>
          <w:numId w:val="10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На фотографиях не должно быть следов механических повреждений (трещины, заломы) на информативно-важных участках изображения.</w:t>
      </w:r>
    </w:p>
    <w:p>
      <w:pPr>
        <w:pStyle w:val="Normal"/>
        <w:widowControl/>
        <w:numPr>
          <w:ilvl w:val="0"/>
          <w:numId w:val="0"/>
        </w:numPr>
        <w:spacing w:before="75" w:after="75"/>
        <w:ind w:firstLine="709"/>
        <w:jc w:val="both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8" w:name="_Toc109400972"/>
      <w:bookmarkStart w:id="9" w:name="_Toc109400957"/>
      <w:r>
        <w:rPr>
          <w:b/>
          <w:bCs/>
          <w:color w:val="0B4A5F"/>
          <w:sz w:val="28"/>
          <w:szCs w:val="28"/>
          <w:lang w:eastAsia="ru-RU"/>
        </w:rPr>
        <w:t>ТРЕБОВАНИЯ К КАРТАМ И КАРТОСХЕМАМ</w:t>
      </w:r>
    </w:p>
    <w:p>
      <w:pPr>
        <w:pStyle w:val="Normal"/>
        <w:widowControl/>
        <w:numPr>
          <w:ilvl w:val="0"/>
          <w:numId w:val="11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Каждая приводимая в статье карта (картосхема) должна иметь линейный масштаб либо (при мелкомасштабных изображениях) оцифрованную градусную сетку.</w:t>
      </w:r>
    </w:p>
    <w:p>
      <w:pPr>
        <w:pStyle w:val="Normal"/>
        <w:widowControl/>
        <w:numPr>
          <w:ilvl w:val="0"/>
          <w:numId w:val="11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На карте должны быть нанесены и подписаны элементы картографической основы (основные реки, озера, моря, заливы, проливы, горные хребты, города или иные населенные пункты, государственные и/или административные границы).</w:t>
      </w:r>
    </w:p>
    <w:p>
      <w:pPr>
        <w:pStyle w:val="Normal"/>
        <w:widowControl/>
        <w:numPr>
          <w:ilvl w:val="0"/>
          <w:numId w:val="11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В рамке карты (картосхемы) должна быть только легенда (условные знаки) с цифровыми или буквенными обозначениями; название карты и все текстовые подписи помещаются в подписи и условных обозначениях к рисункам.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Пример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/>
        <w:drawing>
          <wp:inline distT="0" distB="0" distL="0" distR="0">
            <wp:extent cx="4846320" cy="253746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53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  <w:lang w:eastAsia="ru-RU"/>
        </w:rPr>
        <w:br/>
        <w:t>Рис. 1. Распределение стока воды по рукавам на участке русла р. Амур. 1 – доля стока воды; 2 – крупные аллювиальные формы руслового рельефа; 3 – положение фарватера; 4 – берегозащитные и противопаводковые дамбы; 5 – направление потенциального развития русла.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numPr>
          <w:ilvl w:val="0"/>
          <w:numId w:val="0"/>
        </w:numPr>
        <w:spacing w:before="75" w:after="75"/>
        <w:ind w:firstLine="709"/>
        <w:jc w:val="both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10" w:name="_Toc109400973"/>
      <w:bookmarkStart w:id="11" w:name="_Toc109400958"/>
      <w:bookmarkEnd w:id="10"/>
      <w:bookmarkEnd w:id="11"/>
      <w:r>
        <w:rPr>
          <w:b/>
          <w:bCs/>
          <w:color w:val="0B4A5F"/>
          <w:sz w:val="28"/>
          <w:szCs w:val="28"/>
          <w:lang w:eastAsia="ru-RU"/>
        </w:rPr>
        <w:t>ПРАВИЛА ОФОРМЛЕНИЯ СПИСКА ЛИТЕРАТУРЫ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После заголовка «</w:t>
      </w:r>
      <w:r>
        <w:rPr>
          <w:b/>
          <w:bCs/>
          <w:color w:val="111111"/>
          <w:sz w:val="28"/>
          <w:szCs w:val="28"/>
          <w:lang w:eastAsia="ru-RU"/>
        </w:rPr>
        <w:t>Список литературы</w:t>
      </w:r>
      <w:r>
        <w:rPr>
          <w:color w:val="111111"/>
          <w:sz w:val="28"/>
          <w:szCs w:val="28"/>
          <w:lang w:eastAsia="ru-RU"/>
        </w:rPr>
        <w:t>» размещаются ссылки на использованные в статье опубликованные работы. Литературные источники и электронные ресурсы в списке располагаются в алфавитном порядке авторов либо заглавий (для коллективных монографий и электронных ресурсов): сначала на русском языке и других языках, использующих кириллицу, затем на языках, использующих латиницу и иные алфавиты. Если приводится несколько работ одного автора, то они располагаются в хронологическом порядке, причём фамилия автора повторяется. Каждая ссылка начинается с новой строки и нумеруется арабскими цифрами по порядку; номер ссылки помещается в квадратных скобках. Номера источников в списке литературы должны соответствовать ссылкам на источники в тексте статьи.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 </w:t>
      </w:r>
      <w:r>
        <w:rPr>
          <w:b/>
          <w:bCs/>
          <w:color w:val="111111"/>
          <w:sz w:val="28"/>
          <w:szCs w:val="28"/>
          <w:lang w:eastAsia="ru-RU"/>
        </w:rPr>
        <w:t>Для удобства сбора списка литературы подготовлен специальный скрипт для Mendeley, позволяющий собирать список литературы автоматически: </w:t>
      </w:r>
      <w:hyperlink r:id="rId5">
        <w:r>
          <w:rPr>
            <w:rStyle w:val="Style8"/>
            <w:b/>
            <w:bCs/>
            <w:color w:val="003F6C"/>
            <w:sz w:val="28"/>
            <w:szCs w:val="28"/>
            <w:u w:val="single"/>
            <w:lang w:eastAsia="ru-RU"/>
          </w:rPr>
          <w:t>https://github.com/atsyplenkov/mendeley-citing-styles/tree/main?tab=readme-ov-file</w:t>
        </w:r>
      </w:hyperlink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а) </w:t>
      </w:r>
      <w:r>
        <w:rPr>
          <w:i/>
          <w:iCs/>
          <w:color w:val="111111"/>
          <w:sz w:val="28"/>
          <w:szCs w:val="28"/>
          <w:lang w:eastAsia="ru-RU"/>
        </w:rPr>
        <w:t>Схема библиографического описания отдельных изданий</w:t>
      </w:r>
      <w:r>
        <w:rPr>
          <w:color w:val="111111"/>
          <w:sz w:val="28"/>
          <w:szCs w:val="28"/>
          <w:lang w:eastAsia="ru-RU"/>
        </w:rPr>
        <w:t>: фамилия автора и его инициалы, заглавие работы, сведения об издании, место издания, издательство, год издания, обозначение тома, части или выпуска, общее количество страниц.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Пример:</w:t>
        <w:br/>
        <w:t>[2] Берг Л. С. Физико-географические (ландшафтные) зоны СССР. Изд. 2-е. Л. : Изд-во ЛГУ, 1936. Ч. 1. 254 с.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б) </w:t>
      </w:r>
      <w:r>
        <w:rPr>
          <w:i/>
          <w:iCs/>
          <w:color w:val="111111"/>
          <w:sz w:val="28"/>
          <w:szCs w:val="28"/>
          <w:lang w:eastAsia="ru-RU"/>
        </w:rPr>
        <w:t>Схема библиографического описания статей из периодических изданий и сборников</w:t>
      </w:r>
      <w:r>
        <w:rPr>
          <w:color w:val="111111"/>
          <w:sz w:val="28"/>
          <w:szCs w:val="28"/>
          <w:lang w:eastAsia="ru-RU"/>
        </w:rPr>
        <w:t>: фамилия автора и его инициалы; заглавие статьи; заглавие источника; год издания; обозначение тома; части или выпуска (если выпуск составляет часть тома, то обозначение «вып.» пишется со строчной буквы после номера тома и запятой); страницы, на которых помещена статья; индекс DOI (если имеется).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Примеры:</w:t>
        <w:br/>
        <w:t>[4] Воробьев И. Е. Остров Четырехстолбовый // Изв. РГО. 1940. Т. 72, вып. 3. С. 181—190.</w:t>
        <w:br/>
        <w:t xml:space="preserve">[15] Солнцев В. Н. Структурное ландшафтоведение: основы концепции // Структура, функционирование, эволюция природных и антропогенных ландшафтов : тез. </w:t>
      </w:r>
      <w:r>
        <w:rPr>
          <w:color w:val="111111"/>
          <w:sz w:val="28"/>
          <w:szCs w:val="28"/>
          <w:lang w:val="en-US" w:eastAsia="ru-RU"/>
        </w:rPr>
        <w:t xml:space="preserve">X </w:t>
      </w:r>
      <w:r>
        <w:rPr>
          <w:color w:val="111111"/>
          <w:sz w:val="28"/>
          <w:szCs w:val="28"/>
          <w:lang w:eastAsia="ru-RU"/>
        </w:rPr>
        <w:t>Ландшафтной</w:t>
      </w:r>
      <w:r>
        <w:rPr>
          <w:color w:val="111111"/>
          <w:sz w:val="28"/>
          <w:szCs w:val="28"/>
          <w:lang w:val="en-US" w:eastAsia="ru-RU"/>
        </w:rPr>
        <w:t xml:space="preserve"> </w:t>
      </w:r>
      <w:r>
        <w:rPr>
          <w:color w:val="111111"/>
          <w:sz w:val="28"/>
          <w:szCs w:val="28"/>
          <w:lang w:eastAsia="ru-RU"/>
        </w:rPr>
        <w:t>конф</w:t>
      </w:r>
      <w:r>
        <w:rPr>
          <w:color w:val="111111"/>
          <w:sz w:val="28"/>
          <w:szCs w:val="28"/>
          <w:lang w:val="en-US" w:eastAsia="ru-RU"/>
        </w:rPr>
        <w:t xml:space="preserve">. </w:t>
      </w:r>
      <w:r>
        <w:rPr>
          <w:color w:val="111111"/>
          <w:sz w:val="28"/>
          <w:szCs w:val="28"/>
          <w:lang w:eastAsia="ru-RU"/>
        </w:rPr>
        <w:t>М</w:t>
      </w:r>
      <w:r>
        <w:rPr>
          <w:color w:val="111111"/>
          <w:sz w:val="28"/>
          <w:szCs w:val="28"/>
          <w:lang w:val="en-US" w:eastAsia="ru-RU"/>
        </w:rPr>
        <w:t xml:space="preserve">.; </w:t>
      </w:r>
      <w:r>
        <w:rPr>
          <w:color w:val="111111"/>
          <w:sz w:val="28"/>
          <w:szCs w:val="28"/>
          <w:lang w:eastAsia="ru-RU"/>
        </w:rPr>
        <w:t>СПб</w:t>
      </w:r>
      <w:r>
        <w:rPr>
          <w:color w:val="111111"/>
          <w:sz w:val="28"/>
          <w:szCs w:val="28"/>
          <w:lang w:val="en-US" w:eastAsia="ru-RU"/>
        </w:rPr>
        <w:t xml:space="preserve">., 1997. </w:t>
      </w:r>
      <w:r>
        <w:rPr>
          <w:color w:val="111111"/>
          <w:sz w:val="28"/>
          <w:szCs w:val="28"/>
          <w:lang w:eastAsia="ru-RU"/>
        </w:rPr>
        <w:t>С</w:t>
      </w:r>
      <w:r>
        <w:rPr>
          <w:color w:val="111111"/>
          <w:sz w:val="28"/>
          <w:szCs w:val="28"/>
          <w:lang w:val="en-US" w:eastAsia="ru-RU"/>
        </w:rPr>
        <w:t>. 11—14. DOI: 10.1156/2631775.2631829.</w:t>
        <w:br/>
        <w:t xml:space="preserve">[34] Dansgaard W., Hammer C. A new Greenland deep ice core // Science. </w:t>
      </w:r>
      <w:r>
        <w:rPr>
          <w:color w:val="111111"/>
          <w:sz w:val="28"/>
          <w:szCs w:val="28"/>
          <w:lang w:eastAsia="ru-RU"/>
        </w:rPr>
        <w:t>1982. Vol. 218, N 45/49. P. 1273—1280. DOI: 10.1145/3048912.3052725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в) </w:t>
      </w:r>
      <w:r>
        <w:rPr>
          <w:i/>
          <w:iCs/>
          <w:color w:val="111111"/>
          <w:sz w:val="28"/>
          <w:szCs w:val="28"/>
          <w:lang w:eastAsia="ru-RU"/>
        </w:rPr>
        <w:t>Схема библиографического описания электронных ресурсов</w:t>
      </w:r>
      <w:r>
        <w:rPr>
          <w:color w:val="111111"/>
          <w:sz w:val="28"/>
          <w:szCs w:val="28"/>
          <w:lang w:eastAsia="ru-RU"/>
        </w:rPr>
        <w:t>: заглавие ресурса, место и дата создания (если возможно установить), электронный адрес (URL), дата обращения к документу.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Примеры:</w:t>
        <w:br/>
        <w:t>[37] Рациональное природопользование : федер. интернет-портал. [2012]. URL: http://portalrp.ru/ (дата обращения: 10.09.2012).</w:t>
        <w:br/>
        <w:t>[28] Гулев С. К. Лаборатория взаимодействия океана и атмосферы и мониторинга климатических изменений // Ocean.ru : [сайт] / Ин-т океанологии им. П. П. Ширшова РАН. М., [2007]. URL: http://www.ocean.ru/content/view/70/53/ (дата обращения: 10.09.2012).</w:t>
        <w:br/>
        <w:t>[41] Флоринский И.В. Цифровое моделирование рельефа в почвоведении и геологии : тез. докл. на заседании Отд-ния картографии и аэрокосмич. методов, 8.02.2006 // Русское географическое общество. Московский центр : [сайт]. М., 2006. URL: http://rgo.msk.ru/commissions/cartography/2006-02-08.html (дата обращения: 26.08.2012).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bookmarkStart w:id="12" w:name="_Toc109400972"/>
      <w:bookmarkStart w:id="13" w:name="_Toc109400957"/>
      <w:r>
        <w:rPr>
          <w:color w:val="111111"/>
          <w:sz w:val="28"/>
          <w:szCs w:val="28"/>
          <w:lang w:eastAsia="ru-RU"/>
        </w:rPr>
        <w:t> </w:t>
      </w:r>
      <w:bookmarkEnd w:id="12"/>
      <w:bookmarkEnd w:id="13"/>
    </w:p>
    <w:p>
      <w:pPr>
        <w:pStyle w:val="Normal"/>
        <w:widowControl/>
        <w:numPr>
          <w:ilvl w:val="0"/>
          <w:numId w:val="0"/>
        </w:numPr>
        <w:spacing w:before="75" w:after="75"/>
        <w:ind w:firstLine="709"/>
        <w:jc w:val="both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>
        <w:rPr>
          <w:b/>
          <w:bCs/>
          <w:color w:val="0B4A5F"/>
          <w:sz w:val="28"/>
          <w:szCs w:val="28"/>
          <w:lang w:eastAsia="ru-RU"/>
        </w:rPr>
        <w:t>ЗАГРУЗКА СТАТЬИ ПОСЛЕ РЕЦЕНЗИИ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После получения первичных рецензий предоставляется 30 дней для переработки статьи. После внесения правок и ответов на комментарии рецензентов необходимо загрузить на сайт: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1) </w:t>
      </w:r>
      <w:r>
        <w:rPr>
          <w:b/>
          <w:bCs/>
          <w:color w:val="111111"/>
          <w:sz w:val="28"/>
          <w:szCs w:val="28"/>
          <w:lang w:eastAsia="ru-RU"/>
        </w:rPr>
        <w:t>Итоговый вариант </w:t>
      </w:r>
      <w:r>
        <w:rPr>
          <w:color w:val="111111"/>
          <w:sz w:val="28"/>
          <w:szCs w:val="28"/>
          <w:lang w:eastAsia="ru-RU"/>
        </w:rPr>
        <w:t>статьи с внесенными исправлениями </w:t>
      </w:r>
      <w:r>
        <w:rPr>
          <w:b/>
          <w:bCs/>
          <w:color w:val="111111"/>
          <w:sz w:val="28"/>
          <w:szCs w:val="28"/>
          <w:lang w:eastAsia="ru-RU"/>
        </w:rPr>
        <w:t>без каких-либо пометок</w:t>
      </w:r>
      <w:r>
        <w:rPr>
          <w:color w:val="111111"/>
          <w:sz w:val="28"/>
          <w:szCs w:val="28"/>
          <w:lang w:eastAsia="ru-RU"/>
        </w:rPr>
        <w:t>,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2) </w:t>
      </w:r>
      <w:r>
        <w:rPr>
          <w:b/>
          <w:bCs/>
          <w:color w:val="111111"/>
          <w:sz w:val="28"/>
          <w:szCs w:val="28"/>
          <w:lang w:eastAsia="ru-RU"/>
        </w:rPr>
        <w:t>Итоговый вариант</w:t>
      </w:r>
      <w:r>
        <w:rPr>
          <w:color w:val="111111"/>
          <w:sz w:val="28"/>
          <w:szCs w:val="28"/>
          <w:lang w:eastAsia="ru-RU"/>
        </w:rPr>
        <w:t> статьи с внесенными исправлениями </w:t>
      </w:r>
      <w:r>
        <w:rPr>
          <w:b/>
          <w:bCs/>
          <w:color w:val="111111"/>
          <w:sz w:val="28"/>
          <w:szCs w:val="28"/>
          <w:lang w:eastAsia="ru-RU"/>
        </w:rPr>
        <w:t>в режиме редактирования</w:t>
      </w:r>
      <w:r>
        <w:rPr>
          <w:color w:val="111111"/>
          <w:sz w:val="28"/>
          <w:szCs w:val="28"/>
          <w:lang w:eastAsia="ru-RU"/>
        </w:rPr>
        <w:t>,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3) </w:t>
      </w:r>
      <w:r>
        <w:rPr>
          <w:b/>
          <w:bCs/>
          <w:color w:val="111111"/>
          <w:sz w:val="28"/>
          <w:szCs w:val="28"/>
          <w:lang w:eastAsia="ru-RU"/>
        </w:rPr>
        <w:t>Отдельные файлы с ответами рецензентам</w:t>
      </w:r>
      <w:r>
        <w:rPr>
          <w:color w:val="111111"/>
          <w:sz w:val="28"/>
          <w:szCs w:val="28"/>
          <w:lang w:eastAsia="ru-RU"/>
        </w:rPr>
        <w:t> (каждому по отдельности), где по всем вопросам/комментариям будут представлены ответы, а также вставлены/добавлены текст, в которых показано, что исправления внесены.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 </w:t>
      </w:r>
    </w:p>
    <w:p>
      <w:pPr>
        <w:pStyle w:val="Normal"/>
        <w:widowControl/>
        <w:numPr>
          <w:ilvl w:val="0"/>
          <w:numId w:val="0"/>
        </w:numPr>
        <w:spacing w:before="75" w:after="75"/>
        <w:ind w:firstLine="709"/>
        <w:jc w:val="both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>
        <w:rPr>
          <w:b/>
          <w:bCs/>
          <w:color w:val="0B4A5F"/>
          <w:sz w:val="28"/>
          <w:szCs w:val="28"/>
          <w:lang w:eastAsia="ru-RU"/>
        </w:rPr>
        <w:t>Авторские права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Направляя рукопись статьи издателю для публикации в данном журнале, авторы соглашаются со следующим:</w:t>
      </w:r>
    </w:p>
    <w:p>
      <w:pPr>
        <w:pStyle w:val="Normal"/>
        <w:widowControl/>
        <w:numPr>
          <w:ilvl w:val="0"/>
          <w:numId w:val="1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авторы сохраняют за собой имущественные авторские права на произведение и предоставляют издателю исключительную лицензию на публикацию и распространение произведения;</w:t>
      </w:r>
    </w:p>
    <w:p>
      <w:pPr>
        <w:pStyle w:val="Normal"/>
        <w:widowControl/>
        <w:numPr>
          <w:ilvl w:val="0"/>
          <w:numId w:val="1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авторы сохраняют за собой право на распространение произведения в соответствии с условиями политики самоархивирования, принятой в журнале (см. </w:t>
      </w:r>
      <w:r>
        <w:fldChar w:fldCharType="begin"/>
      </w:r>
      <w:r>
        <w:rPr>
          <w:rStyle w:val="Style8"/>
          <w:sz w:val="28"/>
          <w:u w:val="single"/>
          <w:szCs w:val="28"/>
          <w:color w:val="003F6C"/>
          <w:lang w:eastAsia="ru-RU"/>
        </w:rPr>
        <w:instrText xml:space="preserve"> HYPERLINK "https://journals.rcsi.science/0869-6071/about/editorialPolicies" \l "authorSelfArchivePolicy"</w:instrText>
      </w:r>
      <w:r>
        <w:rPr>
          <w:rStyle w:val="Style8"/>
          <w:sz w:val="28"/>
          <w:u w:val="single"/>
          <w:szCs w:val="28"/>
          <w:color w:val="003F6C"/>
          <w:lang w:eastAsia="ru-RU"/>
        </w:rPr>
        <w:fldChar w:fldCharType="separate"/>
      </w:r>
      <w:r>
        <w:rPr>
          <w:rStyle w:val="Style8"/>
          <w:color w:val="003F6C"/>
          <w:sz w:val="28"/>
          <w:szCs w:val="28"/>
          <w:u w:val="single"/>
          <w:lang w:eastAsia="ru-RU"/>
        </w:rPr>
        <w:t>подробнее</w:t>
      </w:r>
      <w:r>
        <w:rPr>
          <w:rStyle w:val="Style8"/>
          <w:sz w:val="28"/>
          <w:u w:val="single"/>
          <w:szCs w:val="28"/>
          <w:color w:val="003F6C"/>
          <w:lang w:eastAsia="ru-RU"/>
        </w:rPr>
        <w:fldChar w:fldCharType="end"/>
      </w:r>
      <w:r>
        <w:rPr>
          <w:color w:val="111111"/>
          <w:sz w:val="28"/>
          <w:szCs w:val="28"/>
          <w:lang w:eastAsia="ru-RU"/>
        </w:rPr>
        <w:t>);</w:t>
      </w:r>
    </w:p>
    <w:p>
      <w:pPr>
        <w:pStyle w:val="Normal"/>
        <w:widowControl/>
        <w:numPr>
          <w:ilvl w:val="0"/>
          <w:numId w:val="1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направляемая авторами в редакцию рукопись будет принята к публикации только по решению редакционной коллегии и главного редактора — в соответствии с правилами отбора контента в данном журнале (см. </w:t>
      </w:r>
      <w:r>
        <w:fldChar w:fldCharType="begin"/>
      </w:r>
      <w:r>
        <w:rPr>
          <w:rStyle w:val="Style8"/>
          <w:sz w:val="28"/>
          <w:u w:val="single"/>
          <w:szCs w:val="28"/>
          <w:color w:val="003F6C"/>
          <w:lang w:eastAsia="ru-RU"/>
        </w:rPr>
        <w:instrText xml:space="preserve"> HYPERLINK "https://journals.rcsi.science/0869-6071/about/editorialPolicies" \l "peerReviewProcess"</w:instrText>
      </w:r>
      <w:r>
        <w:rPr>
          <w:rStyle w:val="Style8"/>
          <w:sz w:val="28"/>
          <w:u w:val="single"/>
          <w:szCs w:val="28"/>
          <w:color w:val="003F6C"/>
          <w:lang w:eastAsia="ru-RU"/>
        </w:rPr>
        <w:fldChar w:fldCharType="separate"/>
      </w:r>
      <w:r>
        <w:rPr>
          <w:rStyle w:val="Style8"/>
          <w:color w:val="003F6C"/>
          <w:sz w:val="28"/>
          <w:szCs w:val="28"/>
          <w:u w:val="single"/>
          <w:lang w:eastAsia="ru-RU"/>
        </w:rPr>
        <w:t>подробнее</w:t>
      </w:r>
      <w:r>
        <w:rPr>
          <w:rStyle w:val="Style8"/>
          <w:sz w:val="28"/>
          <w:u w:val="single"/>
          <w:szCs w:val="28"/>
          <w:color w:val="003F6C"/>
          <w:lang w:eastAsia="ru-RU"/>
        </w:rPr>
        <w:fldChar w:fldCharType="end"/>
      </w:r>
      <w:r>
        <w:rPr>
          <w:color w:val="111111"/>
          <w:sz w:val="28"/>
          <w:szCs w:val="28"/>
          <w:lang w:eastAsia="ru-RU"/>
        </w:rPr>
        <w:t>);</w:t>
      </w:r>
    </w:p>
    <w:p>
      <w:pPr>
        <w:pStyle w:val="Normal"/>
        <w:widowControl/>
        <w:numPr>
          <w:ilvl w:val="0"/>
          <w:numId w:val="12"/>
        </w:numPr>
        <w:ind w:firstLine="709" w:left="0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опубликованное в журнале произведение будет распространяться в печатном и электронном виде по подписке или на условиях открытого доступа — по усмотрению издателя.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При подаче рукописи в редакцию научного журнала РАН на Платформе авторы статьи, с одной стороны, и редакция журнала, с другой стороны, должны подписать </w:t>
      </w:r>
      <w:r>
        <w:rPr>
          <w:b/>
          <w:bCs/>
          <w:color w:val="111111"/>
          <w:sz w:val="28"/>
          <w:szCs w:val="28"/>
          <w:lang w:eastAsia="ru-RU"/>
        </w:rPr>
        <w:t>Лицензионный договор</w:t>
      </w:r>
      <w:r>
        <w:rPr>
          <w:color w:val="111111"/>
          <w:sz w:val="28"/>
          <w:szCs w:val="28"/>
          <w:lang w:eastAsia="ru-RU"/>
        </w:rPr>
        <w:t> о предоставлении права использования статьи в научном журнале, учредителем (соучредителем) которого является Российская академия наук (далее – Лицензионный договор).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Предоставление авторами исключительного права на использование статьи редакции журнала осуществляется следующими способами: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1) путем подписания </w:t>
      </w:r>
      <w:hyperlink r:id="rId6" w:tgtFrame="_blank">
        <w:r>
          <w:rPr>
            <w:rStyle w:val="Style8"/>
            <w:b/>
            <w:bCs/>
            <w:color w:val="003F6C"/>
            <w:sz w:val="28"/>
            <w:szCs w:val="28"/>
            <w:u w:val="single"/>
            <w:lang w:eastAsia="ru-RU"/>
          </w:rPr>
          <w:t>Лицензионного договора</w:t>
        </w:r>
      </w:hyperlink>
      <w:r>
        <w:rPr>
          <w:color w:val="111111"/>
          <w:sz w:val="28"/>
          <w:szCs w:val="28"/>
          <w:lang w:eastAsia="ru-RU"/>
        </w:rPr>
        <w:t> в бумажном виде, который следует заполнить, заверить представителям авторского коллектива и направить издателю вместе с прочими материалами при подаче рукописи статьи на рассмотрение;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2) заключение Лицензионного договора в электронном виде через сервис обслуживания договоров РЦНИ (далее – СОД), размещенный по адресу </w:t>
      </w:r>
      <w:hyperlink r:id="rId7" w:tgtFrame="_blank">
        <w:r>
          <w:rPr>
            <w:rStyle w:val="Style8"/>
            <w:b/>
            <w:bCs/>
            <w:color w:val="003F6C"/>
            <w:sz w:val="28"/>
            <w:szCs w:val="28"/>
            <w:u w:val="single"/>
            <w:lang w:eastAsia="ru-RU"/>
          </w:rPr>
          <w:t>https://sas.rcsi.science</w:t>
        </w:r>
      </w:hyperlink>
      <w:r>
        <w:rPr>
          <w:color w:val="111111"/>
          <w:sz w:val="28"/>
          <w:szCs w:val="28"/>
          <w:lang w:eastAsia="ru-RU"/>
        </w:rPr>
        <w:t>. Подробно о регистрации пользователя в СОД и процедуре подписания Лицензионного договора авторами статьи изложено в  </w:t>
      </w:r>
      <w:hyperlink r:id="rId8" w:tgtFrame="_blank">
        <w:r>
          <w:rPr>
            <w:rStyle w:val="Style8"/>
            <w:b/>
            <w:bCs/>
            <w:color w:val="003F6C"/>
            <w:sz w:val="28"/>
            <w:szCs w:val="28"/>
            <w:u w:val="single"/>
            <w:lang w:eastAsia="ru-RU"/>
          </w:rPr>
          <w:t>«Инструкция по подаче рукописи и подписанию лицензионного договора о предоставлении права использования статьи в научном журнале»</w:t>
        </w:r>
      </w:hyperlink>
      <w:r>
        <w:rPr>
          <w:color w:val="111111"/>
          <w:sz w:val="28"/>
          <w:szCs w:val="28"/>
          <w:lang w:eastAsia="ru-RU"/>
        </w:rPr>
        <w:t>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При выборе 1 варианта, Лицензионный договор необходимо загружать вместе со всеми материалами.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  </w:t>
      </w:r>
    </w:p>
    <w:p>
      <w:pPr>
        <w:pStyle w:val="Normal"/>
        <w:widowControl/>
        <w:numPr>
          <w:ilvl w:val="0"/>
          <w:numId w:val="0"/>
        </w:numPr>
        <w:spacing w:before="75" w:after="75"/>
        <w:ind w:firstLine="709"/>
        <w:jc w:val="both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>
        <w:rPr>
          <w:b/>
          <w:bCs/>
          <w:color w:val="0B4A5F"/>
          <w:sz w:val="28"/>
          <w:szCs w:val="28"/>
          <w:lang w:eastAsia="ru-RU"/>
        </w:rPr>
        <w:t>Конфиденциальность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Неопубликованные данные, полученные из представленных к рассмотрению рукописей, нельзя использовать в личных исследованиях без письменного согласия Автора. </w:t>
      </w:r>
    </w:p>
    <w:p>
      <w:pPr>
        <w:pStyle w:val="Normal"/>
        <w:widowControl/>
        <w:ind w:firstLine="709"/>
        <w:jc w:val="both"/>
        <w:textAlignment w:val="baseline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Информация или идеи, полученные в ходе рецензирования и связанные с возможными преимуществами, должны сохраняться конфиденциальными и не использоваться с целью получения личной выгоды.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0" w:right="1137" w:gutter="0" w:header="0" w:top="1920" w:footer="0" w:bottom="15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57182f"/>
    <w:pPr>
      <w:widowControl/>
      <w:spacing w:beforeAutospacing="1" w:afterAutospacing="1"/>
      <w:outlineLvl w:val="1"/>
    </w:pPr>
    <w:rPr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57182f"/>
    <w:rPr>
      <w:rFonts w:ascii="Times New Roman" w:hAnsi="Times New Roman" w:eastAsia="Times New Roman" w:cs="Times New Roman"/>
      <w:b/>
      <w:bCs/>
      <w:sz w:val="36"/>
      <w:szCs w:val="36"/>
      <w:lang w:val="ru-RU" w:eastAsia="ru-RU"/>
    </w:rPr>
  </w:style>
  <w:style w:type="character" w:styleId="Strong">
    <w:name w:val="Strong"/>
    <w:basedOn w:val="DefaultParagraphFont"/>
    <w:uiPriority w:val="22"/>
    <w:qFormat/>
    <w:rsid w:val="0057182f"/>
    <w:rPr>
      <w:b/>
      <w:bCs/>
    </w:rPr>
  </w:style>
  <w:style w:type="character" w:styleId="Emphasis">
    <w:name w:val="Emphasis"/>
    <w:basedOn w:val="DefaultParagraphFont"/>
    <w:uiPriority w:val="20"/>
    <w:qFormat/>
    <w:rsid w:val="0057182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7182f"/>
    <w:rPr>
      <w:color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553"/>
    </w:pPr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firstLine="320" w:left="553" w:right="55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57182f"/>
    <w:pPr>
      <w:widowControl/>
      <w:spacing w:beforeAutospacing="1" w:afterAutospacing="1"/>
    </w:pPr>
    <w:rPr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u.translit.ru/?account=gost-7-79-2000" TargetMode="External"/><Relationship Id="rId3" Type="http://schemas.openxmlformats.org/officeDocument/2006/relationships/hyperlink" Target="https://journals.plos.org/ploscompbiol/article/file?id=10.1371/journal.pcbi.1005619&amp;type=printable" TargetMode="External"/><Relationship Id="rId4" Type="http://schemas.openxmlformats.org/officeDocument/2006/relationships/image" Target="media/image1.jpeg"/><Relationship Id="rId5" Type="http://schemas.openxmlformats.org/officeDocument/2006/relationships/hyperlink" Target="https://github.com/atsyplenkov/mendeley-citing-styles/tree/main?tab=readme-ov-file" TargetMode="External"/><Relationship Id="rId6" Type="http://schemas.openxmlformats.org/officeDocument/2006/relationships/hyperlink" Target="https://journals.rcsi.science/files/journals/163/DOC_all_RAS/Copyright/&#1060;&#1086;&#1088;&#1084;&#1072;&#1083;&#1080;&#1094;&#1077;&#1085;&#1079;&#1080;&#1086;&#1085;&#1085;&#1086;&#1075;&#1086;&#1076;&#1086;&#1075;&#1086;&#1074;&#1086;&#1088;&#1072;&#1056;&#1040;&#1053;_2023_&#1088;&#1091;&#1089;_.doc" TargetMode="External"/><Relationship Id="rId7" Type="http://schemas.openxmlformats.org/officeDocument/2006/relationships/hyperlink" Target="https://sas.rcsi.science/" TargetMode="External"/><Relationship Id="rId8" Type="http://schemas.openxmlformats.org/officeDocument/2006/relationships/hyperlink" Target="https://journals.rcsi.science/files/journals/210/doc/&#1055;&#1086;&#1076;&#1072;&#1095;&#1072;&#1088;&#1091;&#1082;&#1086;&#1087;&#1080;&#1089;&#1080;&#1080;&#1087;&#1086;&#1076;&#1087;&#1080;&#1089;&#1072;&#1085;&#1080;&#1077;&#1083;&#1080;&#1094;&#1077;&#1085;&#1079;&#1080;&#1086;&#1085;&#1085;&#1086;&#1075;&#1086;&#1076;&#1086;&#1075;&#1086;&#1074;&#1086;&#1088;&#1072;_final.pdf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LibreOffice/25.2.5.2$Windows_X86_64 LibreOffice_project/03d19516eb2e1dd5d4ccd751a0d6f35f35e08022</Application>
  <AppVersion>15.0000</AppVersion>
  <Pages>11</Pages>
  <Words>2544</Words>
  <Characters>17141</Characters>
  <CharactersWithSpaces>19571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2025-09-11T11:14:00Z</dcterms:created>
  <dc:creator>&lt;C1F3F0E5EDE8EDE0&gt;</dc:creator>
  <dc:description/>
  <dc:language>ru-RU</dc:language>
  <cp:lastModifiedBy/>
  <dcterms:modified xsi:type="dcterms:W3CDTF">2025-09-15T17:02:54Z</dcterms:modified>
  <cp:revision>13</cp:revision>
  <dc:subject/>
  <dc:title>publ.vp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